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ascii="Times New Roman" w:hAnsi="Times New Roman"/>
          <w:b/>
          <w:bCs/>
          <w:sz w:val="24"/>
          <w:szCs w:val="24"/>
          <w:lang w:val="en-US"/>
        </w:rPr>
        <w:t>Контролна листа преузета од Министарства заштите животне средине -</w:t>
      </w:r>
      <w:r>
        <w:rPr>
          <w:rFonts w:eastAsia="Times New Roman" w:cs="Times New Roman" w:ascii="Times New Roman" w:hAnsi="Times New Roman"/>
          <w:b/>
          <w:bCs/>
          <w:sz w:val="24"/>
          <w:szCs w:val="24"/>
          <w:lang w:val="sr-RS"/>
        </w:rPr>
        <w:t xml:space="preserve"> </w:t>
      </w:r>
      <w:r>
        <w:rPr>
          <w:rFonts w:eastAsia="Times New Roman" w:cs="Times New Roman" w:ascii="Times New Roman" w:hAnsi="Times New Roman"/>
          <w:b/>
          <w:bCs/>
          <w:sz w:val="24"/>
          <w:szCs w:val="24"/>
          <w:lang w:val="en-US"/>
        </w:rPr>
        <w:t xml:space="preserve">Сектор </w:t>
      </w:r>
      <w:r>
        <w:rPr>
          <w:rFonts w:eastAsia="Times New Roman" w:cs="Times New Roman" w:ascii="Times New Roman" w:hAnsi="Times New Roman"/>
          <w:b/>
          <w:bCs/>
          <w:sz w:val="24"/>
          <w:szCs w:val="24"/>
          <w:lang w:val="sr-RS"/>
        </w:rPr>
        <w:t xml:space="preserve">за надзор и предострожност у животној средини - </w:t>
      </w:r>
      <w:r>
        <w:rPr>
          <w:rFonts w:eastAsia="Times New Roman" w:cs="Times New Roman" w:ascii="Times New Roman" w:hAnsi="Times New Roman"/>
          <w:b/>
          <w:bCs/>
          <w:sz w:val="24"/>
          <w:szCs w:val="24"/>
          <w:lang w:val="en-US"/>
        </w:rPr>
        <w:t>Инспекција за заштиту животне средине</w:t>
      </w:r>
      <w:r>
        <w:rPr>
          <w:rFonts w:cs="Times New Roman" w:ascii="Times New Roman" w:hAnsi="Times New Roman"/>
          <w:b/>
          <w:bCs/>
          <w:sz w:val="24"/>
          <w:szCs w:val="24"/>
          <w:lang w:val="en-US"/>
        </w:rPr>
        <w:t xml:space="preserve"> интернет </w:t>
      </w:r>
    </w:p>
    <w:p>
      <w:pPr>
        <w:pStyle w:val="Normal"/>
        <w:spacing w:lineRule="auto" w:line="240" w:before="0" w:after="0"/>
        <w:jc w:val="both"/>
        <w:rPr/>
      </w:pPr>
      <w:r>
        <w:rPr>
          <w:rFonts w:cs="Times New Roman" w:ascii="Times New Roman" w:hAnsi="Times New Roman"/>
          <w:b/>
          <w:bCs/>
          <w:sz w:val="24"/>
          <w:szCs w:val="24"/>
          <w:lang w:val="en-US"/>
        </w:rPr>
        <w:t xml:space="preserve">адреса: </w:t>
      </w:r>
      <w:r>
        <w:rPr>
          <w:rFonts w:eastAsia="Times New Roman" w:cs="Times New Roman" w:ascii="Times New Roman" w:hAnsi="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t>ЗАШТИТА ЖИВОТНЕ СРЕДИНЕ У ИНДУСТРИЈСКИМ ОБЈЕКТИМА</w:t>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Контролна листа: ЗАШТИТА ВАЗДУХА КОД ПОСТРОЈЕЊА ЗА САГОРЕВАЊЕ СА КОНТИНУАЛНИМ МЕРЕЊЕМ</w:t>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pacing w:lineRule="auto" w:line="240" w:before="0" w:after="0"/>
        <w:rPr>
          <w:rFonts w:ascii="Times New Roman" w:hAnsi="Times New Roman" w:cs="Times New Roman"/>
          <w:sz w:val="12"/>
          <w:szCs w:val="12"/>
          <w:lang w:val="sr-RS"/>
        </w:rPr>
      </w:pPr>
      <w:r>
        <w:rPr>
          <w:rFonts w:cs="Times New Roman" w:ascii="Times New Roman" w:hAnsi="Times New Roman"/>
          <w:sz w:val="12"/>
          <w:szCs w:val="12"/>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Општи подаци</w:t>
      </w:r>
    </w:p>
    <w:tbl>
      <w:tblPr>
        <w:tblStyle w:val="TableGrid"/>
        <w:tblW w:w="1081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67"/>
        <w:gridCol w:w="5850"/>
      </w:tblGrid>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sr-RS" w:eastAsia="en-US" w:bidi="ar-SA"/>
              </w:rPr>
              <w:t>Назив надзираног субјекта</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 и место седишта</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Матични број</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ПИБ</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color w:val="FF0000"/>
                <w:sz w:val="24"/>
                <w:szCs w:val="24"/>
                <w:lang w:val="sr-RS"/>
              </w:rPr>
            </w:pPr>
            <w:r>
              <w:rPr>
                <w:rFonts w:eastAsia="Calibri" w:cs="Times New Roman" w:ascii="Times New Roman" w:hAnsi="Times New Roman"/>
                <w:bCs/>
                <w:kern w:val="0"/>
                <w:sz w:val="24"/>
                <w:szCs w:val="24"/>
                <w:lang w:val="sr-RS" w:eastAsia="en-US" w:bidi="ar-SA"/>
              </w:rPr>
              <w:t>Име особе за контакт</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967"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Телефон и електронска адреса контакт особе</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6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постројења / ознака димњака</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496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w:t>
            </w:r>
            <w:r>
              <w:rPr>
                <w:rFonts w:eastAsia="Calibri" w:cs="Times New Roman" w:ascii="Times New Roman" w:hAnsi="Times New Roman"/>
                <w:bCs/>
                <w:kern w:val="0"/>
                <w:sz w:val="24"/>
                <w:szCs w:val="24"/>
                <w:lang w:val="en-US" w:eastAsia="en-US" w:bidi="ar-SA"/>
              </w:rPr>
              <w:t xml:space="preserve"> </w:t>
            </w:r>
            <w:r>
              <w:rPr>
                <w:rFonts w:eastAsia="Calibri" w:cs="Times New Roman" w:ascii="Times New Roman" w:hAnsi="Times New Roman"/>
                <w:bCs/>
                <w:kern w:val="0"/>
                <w:sz w:val="24"/>
                <w:szCs w:val="24"/>
                <w:lang w:val="sr-RS" w:eastAsia="en-US" w:bidi="ar-SA"/>
              </w:rPr>
              <w:t>и место постројења</w:t>
            </w:r>
          </w:p>
        </w:tc>
        <w:tc>
          <w:tcPr>
            <w:tcW w:w="585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lineRule="auto" w:line="240" w:before="0" w:after="0"/>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Табела Б: </w:t>
      </w:r>
      <w:r>
        <w:rPr>
          <w:rFonts w:eastAsia="Times New Roman" w:cs="Times New Roman" w:ascii="Times New Roman" w:hAnsi="Times New Roman"/>
          <w:sz w:val="24"/>
          <w:szCs w:val="24"/>
          <w:lang w:val="sr-RS" w:eastAsia="sr-Latn-RS"/>
        </w:rPr>
        <w:t>Статус надзираног субјекта</w:t>
      </w:r>
    </w:p>
    <w:tbl>
      <w:tblPr>
        <w:tblStyle w:val="TableGrid"/>
        <w:tblW w:w="1082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37"/>
        <w:gridCol w:w="17"/>
        <w:gridCol w:w="2368"/>
      </w:tblGrid>
      <w:tr>
        <w:trPr/>
        <w:tc>
          <w:tcPr>
            <w:tcW w:w="8437" w:type="dxa"/>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Да ли је надзирани субјекат регистрован у АПР-у</w:t>
            </w:r>
          </w:p>
        </w:tc>
        <w:tc>
          <w:tcPr>
            <w:tcW w:w="2385" w:type="dxa"/>
            <w:gridSpan w:val="2"/>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3241214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 </w:t>
            </w:r>
            <w:sdt>
              <w:sdtPr>
                <w:id w:val="65109690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c>
          <w:tcPr>
            <w:tcW w:w="10822" w:type="dxa"/>
            <w:gridSpan w:val="3"/>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454" w:type="dxa"/>
            <w:gridSpan w:val="2"/>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40812594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49160769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26240752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tc>
          <w:tcPr>
            <w:tcW w:w="10822" w:type="dxa"/>
            <w:gridSpan w:val="3"/>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spacing w:lineRule="auto" w:line="240" w:before="0" w:after="0"/>
        <w:rPr>
          <w:rFonts w:ascii="Times New Roman" w:hAnsi="Times New Roman" w:cs="Times New Roman"/>
          <w:sz w:val="12"/>
          <w:szCs w:val="12"/>
          <w:lang w:val="sr-RS"/>
        </w:rPr>
      </w:pPr>
      <w:r>
        <w:rPr>
          <w:rFonts w:cs="Times New Roman" w:ascii="Times New Roman" w:hAnsi="Times New Roman"/>
          <w:sz w:val="12"/>
          <w:szCs w:val="12"/>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p>
    <w:tbl>
      <w:tblPr>
        <w:tblStyle w:val="TableGrid"/>
        <w:tblW w:w="10800" w:type="dxa"/>
        <w:jc w:val="center"/>
        <w:tblInd w:w="0" w:type="dxa"/>
        <w:tblLayout w:type="fixed"/>
        <w:tblCellMar>
          <w:top w:w="0" w:type="dxa"/>
          <w:left w:w="85" w:type="dxa"/>
          <w:bottom w:w="0" w:type="dxa"/>
          <w:right w:w="85" w:type="dxa"/>
        </w:tblCellMar>
        <w:tblLook w:firstRow="1" w:noVBand="1" w:lastRow="0" w:firstColumn="1" w:lastColumn="0" w:noHBand="0" w:val="04a0"/>
      </w:tblPr>
      <w:tblGrid>
        <w:gridCol w:w="584"/>
        <w:gridCol w:w="7667"/>
        <w:gridCol w:w="2549"/>
      </w:tblGrid>
      <w:tr>
        <w:trPr>
          <w:trHeight w:val="419" w:hRule="atLeast"/>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eastAsia="Times New Roman" w:cs="Times New Roman"/>
                <w:bCs/>
                <w:sz w:val="24"/>
                <w:szCs w:val="24"/>
                <w:lang w:val="sr-RS" w:eastAsia="sr-Latn-RS"/>
              </w:rPr>
            </w:pPr>
            <w:r>
              <w:rPr>
                <w:rFonts w:eastAsia="Times New Roman" w:cs="Times New Roman" w:ascii="Times New Roman" w:hAnsi="Times New Roman"/>
                <w:bCs/>
                <w:kern w:val="0"/>
                <w:sz w:val="24"/>
                <w:szCs w:val="24"/>
                <w:lang w:val="sr-RS" w:eastAsia="sr-Latn-RS" w:bidi="ar-SA"/>
              </w:rPr>
              <w:t>А ) Континуално мерење емисије</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3475812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06282352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А2</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83017637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79868062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А3</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оператер врши континулано мерење емисије по прибављеној сагласности Министарства 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Pr>
                <w:rFonts w:eastAsia="Calibri" w:cs="Times New Roman" w:ascii="Times New Roman" w:hAnsi="Times New Roman"/>
                <w:kern w:val="0"/>
                <w:sz w:val="24"/>
                <w:szCs w:val="24"/>
                <w:lang w:val="sr-Latn-RS" w:eastAsia="en-US" w:bidi="ar-SA"/>
              </w:rPr>
              <w:t xml:space="preserve">MWth </w:t>
            </w:r>
            <w:r>
              <w:rPr>
                <w:rFonts w:eastAsia="Calibri" w:cs="Times New Roman" w:ascii="Times New Roman" w:hAnsi="Times New Roman"/>
                <w:kern w:val="0"/>
                <w:sz w:val="24"/>
                <w:szCs w:val="24"/>
                <w:lang w:val="sr-RS" w:eastAsia="en-US" w:bidi="ar-SA"/>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Pr>
                <w:rFonts w:eastAsia="Calibri" w:cs="Times New Roman" w:ascii="Times New Roman" w:hAnsi="Times New Roman"/>
                <w:kern w:val="0"/>
                <w:sz w:val="24"/>
                <w:szCs w:val="24"/>
                <w:lang w:val="sr-Latn-RS" w:eastAsia="en-US" w:bidi="ar-SA"/>
              </w:rPr>
              <w:t>MWth</w:t>
            </w:r>
            <w:r>
              <w:rPr>
                <w:rFonts w:eastAsia="Calibri" w:cs="Times New Roman" w:ascii="Times New Roman" w:hAnsi="Times New Roman"/>
                <w:kern w:val="0"/>
                <w:sz w:val="24"/>
                <w:szCs w:val="24"/>
                <w:lang w:val="sr-RS" w:eastAsia="en-US" w:bidi="ar-SA"/>
              </w:rPr>
              <w:t xml:space="preserve"> до 300 </w:t>
            </w:r>
            <w:r>
              <w:rPr>
                <w:rFonts w:eastAsia="Calibri" w:cs="Times New Roman" w:ascii="Times New Roman" w:hAnsi="Times New Roman"/>
                <w:kern w:val="0"/>
                <w:sz w:val="24"/>
                <w:szCs w:val="24"/>
                <w:lang w:val="sr-Latn-RS" w:eastAsia="en-US" w:bidi="ar-SA"/>
              </w:rPr>
              <w:t>MWth</w:t>
            </w:r>
            <w:r>
              <w:rPr>
                <w:rFonts w:eastAsia="Calibri" w:cs="Times New Roman" w:ascii="Times New Roman" w:hAnsi="Times New Roman"/>
                <w:kern w:val="0"/>
                <w:sz w:val="24"/>
                <w:szCs w:val="24"/>
                <w:lang w:val="sr-RS" w:eastAsia="en-US" w:bidi="ar-SA"/>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83390306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65382800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84878875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А4</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9873213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914332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13439953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А5</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је мерно место постављено и опремљено у складу са захтевима и препорукама стандарда </w:t>
            </w:r>
            <w:r>
              <w:rPr>
                <w:rFonts w:eastAsia="Calibri" w:cs="Times New Roman" w:ascii="Times New Roman" w:hAnsi="Times New Roman"/>
                <w:kern w:val="0"/>
                <w:sz w:val="24"/>
                <w:szCs w:val="24"/>
                <w:lang w:val="sr-Latn-RS" w:eastAsia="en-US" w:bidi="ar-SA"/>
              </w:rPr>
              <w:t>SRPS EN 15259</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0825629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67404333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8438656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А6</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4698253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669540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12525918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А7</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извршило редовно годишње испитивање исправности уређаја за континуално мерење емисије (А</w:t>
            </w:r>
            <w:r>
              <w:rPr>
                <w:rFonts w:eastAsia="Calibri" w:cs="Times New Roman" w:ascii="Times New Roman" w:hAnsi="Times New Roman"/>
                <w:kern w:val="0"/>
                <w:sz w:val="24"/>
                <w:szCs w:val="24"/>
                <w:lang w:val="sr-Latn-RS" w:eastAsia="en-US" w:bidi="ar-SA"/>
              </w:rPr>
              <w:t xml:space="preserve">ST) </w:t>
            </w:r>
            <w:r>
              <w:rPr>
                <w:rFonts w:eastAsia="Calibri" w:cs="Times New Roman" w:ascii="Times New Roman" w:hAnsi="Times New Roman"/>
                <w:kern w:val="0"/>
                <w:sz w:val="24"/>
                <w:szCs w:val="24"/>
                <w:lang w:val="sr-RS" w:eastAsia="en-US" w:bidi="ar-SA"/>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42133871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82789568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65888281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А8</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Pr>
                <w:rFonts w:eastAsia="Calibri" w:cs="Times New Roman" w:ascii="Times New Roman" w:hAnsi="Times New Roman"/>
                <w:kern w:val="0"/>
                <w:sz w:val="24"/>
                <w:szCs w:val="24"/>
                <w:lang w:val="sr-Latn-RS" w:eastAsia="en-US" w:bidi="ar-SA"/>
              </w:rPr>
              <w:t xml:space="preserve">QAL 2) </w:t>
            </w:r>
            <w:r>
              <w:rPr>
                <w:rFonts w:eastAsia="Calibri" w:cs="Times New Roman" w:ascii="Times New Roman" w:hAnsi="Times New Roman"/>
                <w:kern w:val="0"/>
                <w:sz w:val="24"/>
                <w:szCs w:val="24"/>
                <w:lang w:val="sr-RS" w:eastAsia="en-US" w:bidi="ar-SA"/>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91554059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6079805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744953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А9</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извршило испитивање исправности уређаја за континуално мерење емисије (А</w:t>
            </w:r>
            <w:r>
              <w:rPr>
                <w:rFonts w:eastAsia="Calibri" w:cs="Times New Roman" w:ascii="Times New Roman" w:hAnsi="Times New Roman"/>
                <w:kern w:val="0"/>
                <w:sz w:val="24"/>
                <w:szCs w:val="24"/>
                <w:lang w:val="sr-Latn-RS" w:eastAsia="en-US" w:bidi="ar-SA"/>
              </w:rPr>
              <w:t xml:space="preserve">ST) </w:t>
            </w:r>
            <w:r>
              <w:rPr>
                <w:rFonts w:eastAsia="Calibri" w:cs="Times New Roman" w:ascii="Times New Roman" w:hAnsi="Times New Roman"/>
                <w:kern w:val="0"/>
                <w:sz w:val="24"/>
                <w:szCs w:val="24"/>
                <w:lang w:val="sr-RS" w:eastAsia="en-US" w:bidi="ar-SA"/>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57455958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34200752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3169944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А10</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TimesNewRoman" w:cs="Times New Roman" w:ascii="Times New Roman" w:hAnsi="Times New Roman"/>
                <w:kern w:val="0"/>
                <w:sz w:val="24"/>
                <w:szCs w:val="24"/>
                <w:lang w:val="sr-RS" w:eastAsia="en-US" w:bidi="ar-SA"/>
              </w:rPr>
              <w:t xml:space="preserve">Да ли се врши редовно одржавање и контрола исправности и вођење евиденције аутоматског мерног система, у складу са </w:t>
            </w:r>
            <w:r>
              <w:rPr>
                <w:rFonts w:eastAsia="TimesNewRoman" w:cs="Times New Roman" w:ascii="Times New Roman" w:hAnsi="Times New Roman"/>
                <w:kern w:val="0"/>
                <w:sz w:val="24"/>
                <w:szCs w:val="24"/>
                <w:lang w:val="en-US" w:eastAsia="en-US" w:bidi="ar-SA"/>
              </w:rPr>
              <w:t>QAL</w:t>
            </w:r>
            <w:r>
              <w:rPr>
                <w:rFonts w:eastAsia="TimesNewRoman" w:cs="Times New Roman" w:ascii="Times New Roman" w:hAnsi="Times New Roman"/>
                <w:kern w:val="0"/>
                <w:sz w:val="24"/>
                <w:szCs w:val="24"/>
                <w:lang w:val="ru-RU" w:eastAsia="en-US" w:bidi="ar-SA"/>
              </w:rPr>
              <w:t>3</w:t>
            </w:r>
            <w:r>
              <w:rPr>
                <w:rFonts w:eastAsia="TimesNewRoman" w:cs="Times New Roman" w:ascii="Times New Roman" w:hAnsi="Times New Roman"/>
                <w:kern w:val="0"/>
                <w:sz w:val="24"/>
                <w:szCs w:val="24"/>
                <w:lang w:val="sr-RS" w:eastAsia="en-US" w:bidi="ar-SA"/>
              </w:rPr>
              <w:t xml:space="preserve"> поступком</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8816653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59274537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7255551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дневни, месечни и годишњи извештај о континуалном мерењу емисије 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0215087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09569792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37859654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А12</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оператер води евиденцију о обављеним мерењима са подацима о мерним местима, резултатима и учесталости мерења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дневни, месечни и годишњи извештај о резултатима континуалног мерења</w:t>
            </w:r>
            <w:r>
              <w:rPr>
                <w:rFonts w:eastAsia="Calibri" w:cs="Times New Roman" w:ascii="Times New Roman" w:hAnsi="Times New Roman"/>
                <w:kern w:val="0"/>
                <w:sz w:val="24"/>
                <w:szCs w:val="24"/>
                <w:lang w:val="sr-Latn-RS" w:eastAsia="en-US" w:bidi="ar-SA"/>
              </w:rPr>
              <w:t>)</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293735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7242103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3185541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А13</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5232404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6573672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864436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А14</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56911758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792880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967992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А15</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07262964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8271366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497120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rHeight w:val="363" w:hRule="atLeast"/>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 Усклађеност са граничним вредностима емисије (ГВЕ)</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у извештајима о континуланом мерењу примењене прописане ГВЕ</w:t>
            </w:r>
          </w:p>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8201682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42384457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sdt>
              <w:sdtPr>
                <w:id w:val="1689095733"/>
                <w14:checkbox>
                  <w14:checked w14:val="0"/>
                  <w14:checkedState w14:val="2612"/>
                  <w14:uncheckedState w14:val="2610"/>
                </w14:checkbox>
              </w:sdtPr>
              <w:sdtContent>
                <w:r>
                  <w:rPr>
                    <w:rFonts w:eastAsia="Calibri" w:cs="Times New Roman" w:ascii="Times New Roman" w:hAnsi="Times New Roman"/>
                    <w:bCs/>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Б2</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постоје прекорачења ГВЕ </w:t>
            </w:r>
            <w:bookmarkStart w:id="0" w:name="_Hlk211508102"/>
            <w:r>
              <w:rPr>
                <w:rFonts w:eastAsia="Calibri" w:cs="Times New Roman" w:ascii="Times New Roman" w:hAnsi="Times New Roman"/>
                <w:kern w:val="0"/>
                <w:sz w:val="24"/>
                <w:szCs w:val="24"/>
                <w:lang w:val="sr-RS" w:eastAsia="en-US" w:bidi="ar-SA"/>
              </w:rPr>
              <w:t xml:space="preserve">према резултатима из извештаја о континуалним мерењима </w:t>
            </w:r>
            <w:bookmarkEnd w:id="0"/>
            <w:r>
              <w:rPr>
                <w:rFonts w:eastAsia="Calibri" w:cs="Times New Roman" w:ascii="Times New Roman" w:hAnsi="Times New Roman"/>
                <w:kern w:val="0"/>
                <w:sz w:val="24"/>
                <w:szCs w:val="24"/>
                <w:lang w:val="sr-RS" w:eastAsia="en-US" w:bidi="ar-SA"/>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3543445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36216426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43427629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В) </w:t>
            </w:r>
            <w:r>
              <w:rPr>
                <w:rFonts w:eastAsia="Calibri" w:cs="Times New Roman" w:ascii="Times New Roman" w:hAnsi="Times New Roman"/>
                <w:bCs/>
                <w:kern w:val="0"/>
                <w:sz w:val="24"/>
                <w:szCs w:val="24"/>
                <w:lang w:val="sr-RS" w:eastAsia="en-US" w:bidi="ar-SA"/>
              </w:rPr>
              <w:t>Квалитет ваздуха у околини стационарних извора загађивања</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7106821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8302750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24000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Г) Рад уређаја за смањивање емисије</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957606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8777160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Г2</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45116597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94318633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Г3</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9230583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5128567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Г4</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5005761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44615897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Г5</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0234070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82176079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trHeight w:val="372" w:hRule="atLeast"/>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 Достава података надлежним органима</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eastAsia="Calibri" w:cs="Times New Roman" w:ascii="Times New Roman" w:hAnsi="Times New Roman"/>
                <w:kern w:val="0"/>
                <w:sz w:val="24"/>
                <w:szCs w:val="24"/>
                <w:lang w:val="sr-RS" w:eastAsia="en-US" w:bidi="ar-SA"/>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Pr>
                <w:rFonts w:eastAsia="Calibri" w:cs="Times New Roman" w:ascii="Times New Roman" w:hAnsi="Times New Roman"/>
                <w:kern w:val="0"/>
                <w:sz w:val="24"/>
                <w:szCs w:val="24"/>
                <w:lang w:val="sr-Latn-RS" w:eastAsia="en-US" w:bidi="ar-SA"/>
              </w:rPr>
              <w:t>0</w:t>
            </w: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kern w:val="0"/>
                <w:sz w:val="24"/>
                <w:szCs w:val="24"/>
                <w:lang w:val="sr-Latn-RS" w:eastAsia="en-US" w:bidi="ar-SA"/>
              </w:rPr>
              <w:t>MWth</w:t>
            </w:r>
            <w:r>
              <w:rPr>
                <w:rFonts w:eastAsia="Calibri" w:cs="Times New Roman" w:ascii="Times New Roman" w:hAnsi="Times New Roman"/>
                <w:kern w:val="0"/>
                <w:sz w:val="24"/>
                <w:szCs w:val="24"/>
                <w:lang w:val="sr-RS" w:eastAsia="en-US" w:bidi="ar-SA"/>
              </w:rPr>
              <w:t xml:space="preserve">-национални регистар, а за постројења топлотног излаза од 1 до 50 </w:t>
            </w:r>
            <w:r>
              <w:rPr>
                <w:rFonts w:eastAsia="Calibri" w:cs="Times New Roman" w:ascii="Times New Roman" w:hAnsi="Times New Roman"/>
                <w:kern w:val="0"/>
                <w:sz w:val="24"/>
                <w:szCs w:val="24"/>
                <w:lang w:val="sr-Latn-RS" w:eastAsia="en-US" w:bidi="ar-SA"/>
              </w:rPr>
              <w:t>MWth</w:t>
            </w:r>
            <w:r>
              <w:rPr>
                <w:rFonts w:eastAsia="Calibri" w:cs="Times New Roman" w:ascii="Times New Roman" w:hAnsi="Times New Roman"/>
                <w:kern w:val="0"/>
                <w:sz w:val="24"/>
                <w:szCs w:val="24"/>
                <w:lang w:val="sr-RS" w:eastAsia="en-US" w:bidi="ar-SA"/>
              </w:rPr>
              <w:t>-локални регистар</w:t>
            </w:r>
            <w:r>
              <w:rPr>
                <w:rFonts w:eastAsia="Calibri" w:cs="Times New Roman" w:ascii="Times New Roman" w:hAnsi="Times New Roman"/>
                <w:kern w:val="0"/>
                <w:sz w:val="24"/>
                <w:szCs w:val="24"/>
                <w:lang w:val="sr-Latn-RS" w:eastAsia="en-US" w:bidi="ar-SA"/>
              </w:rPr>
              <w:t>)</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9429169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7682711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54701862"/>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Д2</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7626024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5487528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1846585306"/>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Д3</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99399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264484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901053140"/>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Д4</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0747837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565163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1637878866"/>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trHeight w:val="417" w:hRule="atLeast"/>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Ђ) </w:t>
            </w:r>
            <w:r>
              <w:rPr>
                <w:rFonts w:eastAsia="Calibri" w:cs="Times New Roman" w:ascii="Times New Roman" w:hAnsi="Times New Roman"/>
                <w:bCs/>
                <w:kern w:val="0"/>
                <w:sz w:val="24"/>
                <w:szCs w:val="24"/>
                <w:lang w:val="sr-RS" w:eastAsia="en-US" w:bidi="ar-SA"/>
              </w:rPr>
              <w:t>Новоизграђени и реконструисани стационарни тачкасти извори загађивања</w:t>
            </w:r>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Ђ1</w:t>
            </w:r>
          </w:p>
        </w:tc>
        <w:tc>
          <w:tcPr>
            <w:tcW w:w="7667"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0378265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9977525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5037080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8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Ђ2</w:t>
            </w:r>
          </w:p>
        </w:tc>
        <w:tc>
          <w:tcPr>
            <w:tcW w:w="766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717306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4118367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2862827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0800" w:type="dxa"/>
        <w:jc w:val="left"/>
        <w:tblInd w:w="-725" w:type="dxa"/>
        <w:tblLayout w:type="fixed"/>
        <w:tblCellMar>
          <w:top w:w="0" w:type="dxa"/>
          <w:left w:w="108" w:type="dxa"/>
          <w:bottom w:w="0" w:type="dxa"/>
          <w:right w:w="108" w:type="dxa"/>
        </w:tblCellMar>
        <w:tblLook w:firstRow="1" w:noVBand="1" w:lastRow="0" w:firstColumn="1" w:lastColumn="0" w:noHBand="0" w:val="04a0"/>
      </w:tblPr>
      <w:tblGrid>
        <w:gridCol w:w="3600"/>
        <w:gridCol w:w="3600"/>
        <w:gridCol w:w="3600"/>
      </w:tblGrid>
      <w:tr>
        <w:trPr/>
        <w:tc>
          <w:tcPr>
            <w:tcW w:w="7200"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kern w:val="0"/>
                <w:sz w:val="24"/>
                <w:szCs w:val="24"/>
                <w:lang w:val="sr-RS" w:eastAsia="en-US" w:bidi="ar-SA"/>
              </w:rPr>
              <w:t>П</w:t>
            </w:r>
            <w:r>
              <w:rPr>
                <w:rFonts w:eastAsia="Calibri" w:cs="Times New Roman" w:ascii="Times New Roman" w:hAnsi="Times New Roman"/>
                <w:kern w:val="0"/>
                <w:sz w:val="24"/>
                <w:szCs w:val="24"/>
                <w:lang w:val="sr-RS" w:eastAsia="en-US" w:bidi="ar-SA"/>
              </w:rPr>
              <w:t>редставници</w:t>
            </w:r>
            <w:r>
              <w:rPr>
                <w:rFonts w:eastAsia="Calibri" w:cs="Times New Roman" w:ascii="Times New Roman" w:hAnsi="Times New Roman"/>
                <w:bCs/>
                <w:kern w:val="0"/>
                <w:sz w:val="24"/>
                <w:szCs w:val="24"/>
                <w:lang w:val="sr-RS" w:eastAsia="en-US" w:bidi="ar-SA"/>
              </w:rPr>
              <w:t xml:space="preserve"> оператера</w:t>
            </w:r>
          </w:p>
        </w:tc>
        <w:tc>
          <w:tcPr>
            <w:tcW w:w="3600" w:type="dxa"/>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ru-RU" w:eastAsia="de-DE"/>
              </w:rPr>
            </w:pPr>
            <w:r>
              <w:rPr>
                <w:rFonts w:eastAsia="Calibri" w:cs="Times New Roman" w:ascii="Times New Roman" w:hAnsi="Times New Roman"/>
                <w:bCs/>
                <w:color w:val="000000"/>
                <w:kern w:val="0"/>
                <w:sz w:val="24"/>
                <w:szCs w:val="24"/>
                <w:lang w:val="sr-RS" w:eastAsia="de-DE" w:bidi="ar-SA"/>
              </w:rPr>
              <w:t>Инспектори за заштиту животне средине</w:t>
            </w:r>
          </w:p>
        </w:tc>
      </w:tr>
      <w:tr>
        <w:trPr/>
        <w:tc>
          <w:tcPr>
            <w:tcW w:w="3600"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Име и презиме</w:t>
            </w:r>
          </w:p>
        </w:tc>
        <w:tc>
          <w:tcPr>
            <w:tcW w:w="3600"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Радно место</w:t>
            </w:r>
          </w:p>
        </w:tc>
        <w:tc>
          <w:tcPr>
            <w:tcW w:w="3600" w:type="dxa"/>
            <w:tcBorders/>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Име и презиме</w:t>
            </w:r>
          </w:p>
        </w:tc>
      </w:tr>
      <w:tr>
        <w:trPr/>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1.</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1.</w:t>
            </w:r>
          </w:p>
        </w:tc>
      </w:tr>
      <w:tr>
        <w:trPr/>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2.</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0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2.</w:t>
            </w:r>
          </w:p>
        </w:tc>
      </w:tr>
      <w:tr>
        <w:trPr/>
        <w:tc>
          <w:tcPr>
            <w:tcW w:w="3600"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3.</w:t>
            </w:r>
          </w:p>
        </w:tc>
        <w:tc>
          <w:tcPr>
            <w:tcW w:w="3600"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00"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3.</w:t>
            </w:r>
          </w:p>
        </w:tc>
      </w:tr>
      <w:tr>
        <w:trPr/>
        <w:tc>
          <w:tcPr>
            <w:tcW w:w="10800" w:type="dxa"/>
            <w:gridSpan w:val="3"/>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Датум инспекцијског надзора:</w:t>
            </w:r>
          </w:p>
        </w:tc>
      </w:tr>
      <w:tr>
        <w:trPr>
          <w:trHeight w:val="359" w:hRule="atLeast"/>
        </w:trPr>
        <w:tc>
          <w:tcPr>
            <w:tcW w:w="10800" w:type="dxa"/>
            <w:gridSpan w:val="3"/>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ru-RU" w:eastAsia="de-DE" w:bidi="ar-SA"/>
              </w:rPr>
              <w:t>Б</w:t>
            </w:r>
            <w:r>
              <w:rPr>
                <w:rFonts w:eastAsia="Calibri" w:cs="Times New Roman" w:ascii="Times New Roman" w:hAnsi="Times New Roman"/>
                <w:bCs/>
                <w:color w:val="000000"/>
                <w:kern w:val="0"/>
                <w:sz w:val="24"/>
                <w:szCs w:val="24"/>
                <w:lang w:val="sr-RS" w:eastAsia="de-DE" w:bidi="ar-SA"/>
              </w:rPr>
              <w:t>рој записника уз који се прилаже контролна листа:</w:t>
            </w:r>
          </w:p>
        </w:tc>
      </w:tr>
    </w:tbl>
    <w:p>
      <w:pPr>
        <w:pStyle w:val="Normal"/>
        <w:spacing w:lineRule="auto" w:line="240" w:before="0" w:after="0"/>
        <w:jc w:val="both"/>
        <w:rPr>
          <w:rFonts w:ascii="Times New Roman" w:hAnsi="Times New Roman" w:cs="Times New Roman"/>
          <w:sz w:val="2"/>
          <w:szCs w:val="2"/>
          <w:lang w:val="sr-RS"/>
        </w:rPr>
      </w:pPr>
      <w:r>
        <w:rPr>
          <w:rFonts w:cs="Times New Roman" w:ascii="Times New Roman" w:hAnsi="Times New Roman"/>
          <w:sz w:val="2"/>
          <w:szCs w:val="2"/>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36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6</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5</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6</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5</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1"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Шифра:</w:t>
          </w:r>
          <w:r>
            <w:rPr>
              <w:rFonts w:eastAsia="Times New Roman" w:cs="Times New Roman" w:ascii="Times New Roman" w:hAnsi="Times New Roman"/>
              <w:b/>
              <w:sz w:val="24"/>
              <w:szCs w:val="24"/>
              <w:lang w:val="sr-RS" w:eastAsia="sr-Latn-RS"/>
            </w:rPr>
            <w:t xml:space="preserve"> КЛ-</w:t>
          </w:r>
          <w:r>
            <w:rPr>
              <w:rFonts w:eastAsia="Times New Roman" w:cs="Times New Roman" w:ascii="Times New Roman" w:hAnsi="Times New Roman"/>
              <w:b/>
              <w:sz w:val="24"/>
              <w:szCs w:val="24"/>
              <w:lang w:eastAsia="sr-Latn-RS"/>
            </w:rPr>
            <w:t>17</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 xml:space="preserve">Датум: </w:t>
          </w:r>
          <w:r>
            <w:rPr>
              <w:rFonts w:eastAsia="Times New Roman" w:cs="Times New Roman" w:ascii="Times New Roman" w:hAnsi="Times New Roman"/>
              <w:b/>
              <w:sz w:val="24"/>
              <w:szCs w:val="24"/>
              <w:lang w:val="sr-Latn-RS"/>
            </w:rPr>
            <w:t>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2"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Шифра:</w:t>
          </w:r>
          <w:r>
            <w:rPr>
              <w:rFonts w:eastAsia="Times New Roman" w:cs="Times New Roman" w:ascii="Times New Roman" w:hAnsi="Times New Roman"/>
              <w:b/>
              <w:sz w:val="24"/>
              <w:szCs w:val="24"/>
              <w:lang w:val="sr-RS" w:eastAsia="sr-Latn-RS"/>
            </w:rPr>
            <w:t xml:space="preserve"> КЛ-</w:t>
          </w:r>
          <w:r>
            <w:rPr>
              <w:rFonts w:eastAsia="Times New Roman" w:cs="Times New Roman" w:ascii="Times New Roman" w:hAnsi="Times New Roman"/>
              <w:b/>
              <w:sz w:val="24"/>
              <w:szCs w:val="24"/>
              <w:lang w:eastAsia="sr-Latn-RS"/>
            </w:rPr>
            <w:t>17</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 xml:space="preserve">Датум: </w:t>
          </w:r>
          <w:r>
            <w:rPr>
              <w:rFonts w:eastAsia="Times New Roman" w:cs="Times New Roman" w:ascii="Times New Roman" w:hAnsi="Times New Roman"/>
              <w:b/>
              <w:sz w:val="24"/>
              <w:szCs w:val="24"/>
              <w:lang w:val="sr-Latn-RS"/>
            </w:rPr>
            <w:t>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BalloonTextChar" w:customStyle="1">
    <w:name w:val="Balloon Text Char"/>
    <w:basedOn w:val="DefaultParagraphFont"/>
    <w:link w:val="BalloonText"/>
    <w:uiPriority w:val="99"/>
    <w:semiHidden/>
    <w:qFormat/>
    <w:rsid w:val="00b03842"/>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b0384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4E8F-B095-4D1B-B5CC-E8D00EEA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LibreOffice/25.2.7.2$Windows_X86_64 LibreOffice_project/5cbfd1ab6520636bb5f7b99185aa69bd7456825d</Application>
  <AppVersion>15.0000</AppVersion>
  <Pages>6</Pages>
  <Words>1635</Words>
  <Characters>8913</Characters>
  <CharactersWithSpaces>10464</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2025-11-14T14:26:00Z</dcterms:created>
  <dc:creator>Aleksandar</dc:creator>
  <dc:description/>
  <dc:language>en-US</dc:language>
  <cp:lastModifiedBy/>
  <dcterms:modified xsi:type="dcterms:W3CDTF">2026-01-13T09:37:39Z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